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AB" w:rsidRDefault="009105AB" w:rsidP="008422EB">
      <w:pPr>
        <w:spacing w:after="135" w:line="330" w:lineRule="atLeast"/>
        <w:rPr>
          <w:rFonts w:ascii="Arial" w:eastAsia="Times New Roman" w:hAnsi="Arial" w:cs="Arial"/>
          <w:color w:val="024480"/>
          <w:sz w:val="30"/>
          <w:szCs w:val="30"/>
          <w:lang w:eastAsia="tr-TR"/>
        </w:rPr>
      </w:pPr>
    </w:p>
    <w:tbl>
      <w:tblPr>
        <w:tblW w:w="0" w:type="auto"/>
        <w:tblBorders>
          <w:top w:val="single" w:sz="6" w:space="0" w:color="307590"/>
          <w:left w:val="single" w:sz="6" w:space="0" w:color="307590"/>
          <w:bottom w:val="single" w:sz="6" w:space="0" w:color="307590"/>
          <w:right w:val="single" w:sz="6" w:space="0" w:color="307590"/>
        </w:tblBorders>
        <w:shd w:val="clear" w:color="auto" w:fill="FFFFFF"/>
        <w:tblCellMar>
          <w:top w:w="15" w:type="dxa"/>
          <w:left w:w="15" w:type="dxa"/>
          <w:bottom w:w="15" w:type="dxa"/>
          <w:right w:w="15" w:type="dxa"/>
        </w:tblCellMar>
        <w:tblLook w:val="04A0"/>
      </w:tblPr>
      <w:tblGrid>
        <w:gridCol w:w="4515"/>
        <w:gridCol w:w="4707"/>
      </w:tblGrid>
      <w:tr w:rsidR="00CC0566" w:rsidRPr="00CC0566" w:rsidTr="00CC0566">
        <w:trPr>
          <w:gridAfter w:val="1"/>
          <w:wAfter w:w="6000" w:type="dxa"/>
        </w:trPr>
        <w:tc>
          <w:tcPr>
            <w:tcW w:w="6000" w:type="dxa"/>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CC0566" w:rsidRPr="00CC0566" w:rsidRDefault="00CC0566" w:rsidP="00CC0566">
            <w:pPr>
              <w:spacing w:after="0" w:line="240" w:lineRule="auto"/>
              <w:rPr>
                <w:rFonts w:ascii="Verdana" w:eastAsia="Times New Roman" w:hAnsi="Verdana" w:cs="Times New Roman"/>
                <w:color w:val="0D3734"/>
                <w:sz w:val="15"/>
                <w:szCs w:val="15"/>
                <w:lang w:eastAsia="tr-TR"/>
              </w:rPr>
            </w:pPr>
            <w:r w:rsidRPr="00CC0566">
              <w:rPr>
                <w:rFonts w:ascii="Verdana" w:eastAsia="Times New Roman" w:hAnsi="Verdana" w:cs="Times New Roman"/>
                <w:color w:val="0D3734"/>
                <w:sz w:val="15"/>
                <w:szCs w:val="15"/>
                <w:lang w:eastAsia="tr-TR"/>
              </w:rPr>
              <w:t>22.05.2014</w:t>
            </w:r>
          </w:p>
        </w:tc>
      </w:tr>
      <w:tr w:rsidR="00CC0566" w:rsidRPr="00CC0566" w:rsidTr="00CC0566">
        <w:tc>
          <w:tcPr>
            <w:tcW w:w="3000" w:type="dxa"/>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CC0566" w:rsidRPr="00CC0566" w:rsidRDefault="00CC0566" w:rsidP="00CC0566">
            <w:pPr>
              <w:spacing w:after="0" w:line="240" w:lineRule="auto"/>
              <w:rPr>
                <w:rFonts w:ascii="Verdana" w:eastAsia="Times New Roman" w:hAnsi="Verdana" w:cs="Times New Roman"/>
                <w:color w:val="0D3734"/>
                <w:sz w:val="15"/>
                <w:szCs w:val="15"/>
                <w:lang w:eastAsia="tr-TR"/>
              </w:rPr>
            </w:pPr>
            <w:r w:rsidRPr="00CC0566">
              <w:rPr>
                <w:rFonts w:ascii="Verdana" w:eastAsia="Times New Roman" w:hAnsi="Verdana" w:cs="Times New Roman"/>
                <w:color w:val="0D3734"/>
                <w:sz w:val="15"/>
                <w:szCs w:val="15"/>
                <w:lang w:eastAsia="tr-TR"/>
              </w:rPr>
              <w:t>Genel Kurul Türü</w:t>
            </w:r>
          </w:p>
        </w:tc>
        <w:tc>
          <w:tcPr>
            <w:tcW w:w="6000" w:type="dxa"/>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CC0566" w:rsidRPr="00CC0566" w:rsidRDefault="00CC0566" w:rsidP="00CC0566">
            <w:pPr>
              <w:spacing w:after="0" w:line="240" w:lineRule="auto"/>
              <w:rPr>
                <w:rFonts w:ascii="Verdana" w:eastAsia="Times New Roman" w:hAnsi="Verdana" w:cs="Times New Roman"/>
                <w:color w:val="0D3734"/>
                <w:sz w:val="15"/>
                <w:szCs w:val="15"/>
                <w:lang w:eastAsia="tr-TR"/>
              </w:rPr>
            </w:pPr>
            <w:r w:rsidRPr="00CC0566">
              <w:rPr>
                <w:rFonts w:ascii="Verdana" w:eastAsia="Times New Roman" w:hAnsi="Verdana" w:cs="Times New Roman"/>
                <w:color w:val="0D3734"/>
                <w:sz w:val="15"/>
                <w:szCs w:val="15"/>
                <w:lang w:eastAsia="tr-TR"/>
              </w:rPr>
              <w:t>Olağan</w:t>
            </w:r>
          </w:p>
        </w:tc>
      </w:tr>
      <w:tr w:rsidR="00CC0566" w:rsidRPr="00CC0566" w:rsidTr="00CC0566">
        <w:tc>
          <w:tcPr>
            <w:tcW w:w="3000" w:type="dxa"/>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CC0566" w:rsidRPr="00CC0566" w:rsidRDefault="00CC0566" w:rsidP="00CC0566">
            <w:pPr>
              <w:spacing w:after="0" w:line="240" w:lineRule="auto"/>
              <w:rPr>
                <w:rFonts w:ascii="Verdana" w:eastAsia="Times New Roman" w:hAnsi="Verdana" w:cs="Times New Roman"/>
                <w:color w:val="0D3734"/>
                <w:sz w:val="15"/>
                <w:szCs w:val="15"/>
                <w:lang w:eastAsia="tr-TR"/>
              </w:rPr>
            </w:pPr>
            <w:r w:rsidRPr="00CC0566">
              <w:rPr>
                <w:rFonts w:ascii="Verdana" w:eastAsia="Times New Roman" w:hAnsi="Verdana" w:cs="Times New Roman"/>
                <w:color w:val="0D3734"/>
                <w:sz w:val="15"/>
                <w:szCs w:val="15"/>
                <w:lang w:eastAsia="tr-TR"/>
              </w:rPr>
              <w:t>Hesap Dönemi Başlangıç Tarihi</w:t>
            </w:r>
          </w:p>
        </w:tc>
        <w:tc>
          <w:tcPr>
            <w:tcW w:w="6000" w:type="dxa"/>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CC0566" w:rsidRPr="00CC0566" w:rsidRDefault="00CC0566" w:rsidP="00CC0566">
            <w:pPr>
              <w:spacing w:after="0" w:line="240" w:lineRule="auto"/>
              <w:rPr>
                <w:rFonts w:ascii="Verdana" w:eastAsia="Times New Roman" w:hAnsi="Verdana" w:cs="Times New Roman"/>
                <w:color w:val="0D3734"/>
                <w:sz w:val="15"/>
                <w:szCs w:val="15"/>
                <w:lang w:eastAsia="tr-TR"/>
              </w:rPr>
            </w:pPr>
            <w:r w:rsidRPr="00CC0566">
              <w:rPr>
                <w:rFonts w:ascii="Verdana" w:eastAsia="Times New Roman" w:hAnsi="Verdana" w:cs="Times New Roman"/>
                <w:color w:val="0D3734"/>
                <w:sz w:val="15"/>
                <w:szCs w:val="15"/>
                <w:lang w:eastAsia="tr-TR"/>
              </w:rPr>
              <w:t>01.01.2013</w:t>
            </w:r>
          </w:p>
        </w:tc>
      </w:tr>
      <w:tr w:rsidR="00CC0566" w:rsidRPr="00CC0566" w:rsidTr="00CC0566">
        <w:tc>
          <w:tcPr>
            <w:tcW w:w="3000" w:type="dxa"/>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CC0566" w:rsidRPr="00CC0566" w:rsidRDefault="00CC0566" w:rsidP="00CC0566">
            <w:pPr>
              <w:spacing w:after="0" w:line="240" w:lineRule="auto"/>
              <w:rPr>
                <w:rFonts w:ascii="Verdana" w:eastAsia="Times New Roman" w:hAnsi="Verdana" w:cs="Times New Roman"/>
                <w:color w:val="0D3734"/>
                <w:sz w:val="15"/>
                <w:szCs w:val="15"/>
                <w:lang w:eastAsia="tr-TR"/>
              </w:rPr>
            </w:pPr>
            <w:r w:rsidRPr="00CC0566">
              <w:rPr>
                <w:rFonts w:ascii="Verdana" w:eastAsia="Times New Roman" w:hAnsi="Verdana" w:cs="Times New Roman"/>
                <w:color w:val="0D3734"/>
                <w:sz w:val="15"/>
                <w:szCs w:val="15"/>
                <w:lang w:eastAsia="tr-TR"/>
              </w:rPr>
              <w:t>Hesap Dönemi Bitiş Tarihi</w:t>
            </w:r>
          </w:p>
        </w:tc>
        <w:tc>
          <w:tcPr>
            <w:tcW w:w="6000" w:type="dxa"/>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CC0566" w:rsidRPr="00CC0566" w:rsidRDefault="00CC0566" w:rsidP="00CC0566">
            <w:pPr>
              <w:spacing w:after="0" w:line="240" w:lineRule="auto"/>
              <w:rPr>
                <w:rFonts w:ascii="Verdana" w:eastAsia="Times New Roman" w:hAnsi="Verdana" w:cs="Times New Roman"/>
                <w:color w:val="0D3734"/>
                <w:sz w:val="15"/>
                <w:szCs w:val="15"/>
                <w:lang w:eastAsia="tr-TR"/>
              </w:rPr>
            </w:pPr>
            <w:r w:rsidRPr="00CC0566">
              <w:rPr>
                <w:rFonts w:ascii="Verdana" w:eastAsia="Times New Roman" w:hAnsi="Verdana" w:cs="Times New Roman"/>
                <w:color w:val="0D3734"/>
                <w:sz w:val="15"/>
                <w:szCs w:val="15"/>
                <w:lang w:eastAsia="tr-TR"/>
              </w:rPr>
              <w:t>31.12.2013</w:t>
            </w:r>
          </w:p>
        </w:tc>
      </w:tr>
      <w:tr w:rsidR="00CC0566" w:rsidRPr="00CC0566" w:rsidTr="00CC0566">
        <w:tc>
          <w:tcPr>
            <w:tcW w:w="3000" w:type="dxa"/>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CC0566" w:rsidRPr="00CC0566" w:rsidRDefault="00CC0566" w:rsidP="00CC0566">
            <w:pPr>
              <w:spacing w:after="0" w:line="240" w:lineRule="auto"/>
              <w:rPr>
                <w:rFonts w:ascii="Verdana" w:eastAsia="Times New Roman" w:hAnsi="Verdana" w:cs="Times New Roman"/>
                <w:color w:val="0D3734"/>
                <w:sz w:val="15"/>
                <w:szCs w:val="15"/>
                <w:lang w:eastAsia="tr-TR"/>
              </w:rPr>
            </w:pPr>
            <w:r w:rsidRPr="00CC0566">
              <w:rPr>
                <w:rFonts w:ascii="Verdana" w:eastAsia="Times New Roman" w:hAnsi="Verdana" w:cs="Times New Roman"/>
                <w:color w:val="0D3734"/>
                <w:sz w:val="15"/>
                <w:szCs w:val="15"/>
                <w:lang w:eastAsia="tr-TR"/>
              </w:rPr>
              <w:t>Tarihi ve Saati</w:t>
            </w:r>
          </w:p>
        </w:tc>
        <w:tc>
          <w:tcPr>
            <w:tcW w:w="6000" w:type="dxa"/>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CC0566" w:rsidRPr="00CC0566" w:rsidRDefault="00CC0566" w:rsidP="00CC0566">
            <w:pPr>
              <w:spacing w:after="0" w:line="240" w:lineRule="auto"/>
              <w:rPr>
                <w:rFonts w:ascii="Verdana" w:eastAsia="Times New Roman" w:hAnsi="Verdana" w:cs="Times New Roman"/>
                <w:color w:val="0D3734"/>
                <w:sz w:val="15"/>
                <w:szCs w:val="15"/>
                <w:lang w:eastAsia="tr-TR"/>
              </w:rPr>
            </w:pPr>
            <w:r w:rsidRPr="00CC0566">
              <w:rPr>
                <w:rFonts w:ascii="Verdana" w:eastAsia="Times New Roman" w:hAnsi="Verdana" w:cs="Times New Roman"/>
                <w:color w:val="0D3734"/>
                <w:sz w:val="15"/>
                <w:szCs w:val="15"/>
                <w:lang w:eastAsia="tr-TR"/>
              </w:rPr>
              <w:t xml:space="preserve">19.06.2014 </w:t>
            </w:r>
            <w:proofErr w:type="gramStart"/>
            <w:r w:rsidRPr="00CC0566">
              <w:rPr>
                <w:rFonts w:ascii="Verdana" w:eastAsia="Times New Roman" w:hAnsi="Verdana" w:cs="Times New Roman"/>
                <w:color w:val="0D3734"/>
                <w:sz w:val="15"/>
                <w:szCs w:val="15"/>
                <w:lang w:eastAsia="tr-TR"/>
              </w:rPr>
              <w:t>14:00</w:t>
            </w:r>
            <w:proofErr w:type="gramEnd"/>
          </w:p>
        </w:tc>
      </w:tr>
      <w:tr w:rsidR="00CC0566" w:rsidRPr="00CC0566" w:rsidTr="00CC0566">
        <w:tc>
          <w:tcPr>
            <w:tcW w:w="3000" w:type="dxa"/>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CC0566" w:rsidRPr="00CC0566" w:rsidRDefault="00CC0566" w:rsidP="00CC0566">
            <w:pPr>
              <w:spacing w:after="0" w:line="240" w:lineRule="auto"/>
              <w:rPr>
                <w:rFonts w:ascii="Verdana" w:eastAsia="Times New Roman" w:hAnsi="Verdana" w:cs="Times New Roman"/>
                <w:color w:val="0D3734"/>
                <w:sz w:val="15"/>
                <w:szCs w:val="15"/>
                <w:lang w:eastAsia="tr-TR"/>
              </w:rPr>
            </w:pPr>
            <w:r w:rsidRPr="00CC0566">
              <w:rPr>
                <w:rFonts w:ascii="Verdana" w:eastAsia="Times New Roman" w:hAnsi="Verdana" w:cs="Times New Roman"/>
                <w:color w:val="0D3734"/>
                <w:sz w:val="15"/>
                <w:szCs w:val="15"/>
                <w:lang w:eastAsia="tr-TR"/>
              </w:rPr>
              <w:t>Adresi</w:t>
            </w:r>
          </w:p>
        </w:tc>
        <w:tc>
          <w:tcPr>
            <w:tcW w:w="6000" w:type="dxa"/>
            <w:tcBorders>
              <w:top w:val="outset" w:sz="6" w:space="0" w:color="auto"/>
              <w:left w:val="outset" w:sz="6" w:space="0" w:color="auto"/>
              <w:bottom w:val="single" w:sz="6" w:space="0" w:color="D0DADD"/>
              <w:right w:val="single" w:sz="6" w:space="0" w:color="D0DADD"/>
            </w:tcBorders>
            <w:shd w:val="clear" w:color="auto" w:fill="F9FAFB"/>
            <w:tcMar>
              <w:top w:w="15" w:type="dxa"/>
              <w:left w:w="75" w:type="dxa"/>
              <w:bottom w:w="15" w:type="dxa"/>
              <w:right w:w="75" w:type="dxa"/>
            </w:tcMar>
            <w:vAlign w:val="center"/>
            <w:hideMark/>
          </w:tcPr>
          <w:p w:rsidR="00CC0566" w:rsidRPr="00CC0566" w:rsidRDefault="00CC0566" w:rsidP="00CC0566">
            <w:pPr>
              <w:spacing w:after="0" w:line="240" w:lineRule="auto"/>
              <w:rPr>
                <w:rFonts w:ascii="Verdana" w:eastAsia="Times New Roman" w:hAnsi="Verdana" w:cs="Times New Roman"/>
                <w:color w:val="0D3734"/>
                <w:sz w:val="15"/>
                <w:szCs w:val="15"/>
                <w:lang w:eastAsia="tr-TR"/>
              </w:rPr>
            </w:pPr>
            <w:r w:rsidRPr="00CC0566">
              <w:rPr>
                <w:rFonts w:ascii="Verdana" w:eastAsia="Times New Roman" w:hAnsi="Verdana" w:cs="Times New Roman"/>
                <w:color w:val="0D3734"/>
                <w:sz w:val="15"/>
                <w:szCs w:val="15"/>
                <w:lang w:eastAsia="tr-TR"/>
              </w:rPr>
              <w:t>NAMIK KEMAL MAH. KİLER CAD. NO:96 KAT:3 ESENYURT İSTANBUL</w:t>
            </w:r>
          </w:p>
        </w:tc>
      </w:tr>
      <w:tr w:rsidR="00CC0566" w:rsidRPr="00CC0566" w:rsidTr="00CC0566">
        <w:tc>
          <w:tcPr>
            <w:tcW w:w="3000" w:type="dxa"/>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CC0566" w:rsidRPr="00CC0566" w:rsidRDefault="00CC0566" w:rsidP="00CC0566">
            <w:pPr>
              <w:spacing w:after="0" w:line="240" w:lineRule="auto"/>
              <w:rPr>
                <w:rFonts w:ascii="Verdana" w:eastAsia="Times New Roman" w:hAnsi="Verdana" w:cs="Times New Roman"/>
                <w:color w:val="0D3734"/>
                <w:sz w:val="15"/>
                <w:szCs w:val="15"/>
                <w:lang w:eastAsia="tr-TR"/>
              </w:rPr>
            </w:pPr>
            <w:r w:rsidRPr="00CC0566">
              <w:rPr>
                <w:rFonts w:ascii="Verdana" w:eastAsia="Times New Roman" w:hAnsi="Verdana" w:cs="Times New Roman"/>
                <w:color w:val="0D3734"/>
                <w:sz w:val="15"/>
                <w:szCs w:val="15"/>
                <w:lang w:eastAsia="tr-TR"/>
              </w:rPr>
              <w:t>Gündem</w:t>
            </w:r>
          </w:p>
        </w:tc>
        <w:tc>
          <w:tcPr>
            <w:tcW w:w="6000" w:type="dxa"/>
            <w:tcBorders>
              <w:top w:val="outset" w:sz="6" w:space="0" w:color="auto"/>
              <w:left w:val="outset" w:sz="6" w:space="0" w:color="auto"/>
              <w:bottom w:val="single" w:sz="6" w:space="0" w:color="D0DADD"/>
              <w:right w:val="single" w:sz="6" w:space="0" w:color="D0DADD"/>
            </w:tcBorders>
            <w:shd w:val="clear" w:color="auto" w:fill="FDFEFF"/>
            <w:tcMar>
              <w:top w:w="15" w:type="dxa"/>
              <w:left w:w="75" w:type="dxa"/>
              <w:bottom w:w="15" w:type="dxa"/>
              <w:right w:w="75" w:type="dxa"/>
            </w:tcMar>
            <w:vAlign w:val="center"/>
            <w:hideMark/>
          </w:tcPr>
          <w:p w:rsidR="00CC0566" w:rsidRPr="00CC0566" w:rsidRDefault="00CC0566" w:rsidP="00CC0566">
            <w:pPr>
              <w:spacing w:after="0" w:line="240" w:lineRule="auto"/>
              <w:rPr>
                <w:rFonts w:ascii="Verdana" w:eastAsia="Times New Roman" w:hAnsi="Verdana" w:cs="Times New Roman"/>
                <w:color w:val="0D3734"/>
                <w:sz w:val="15"/>
                <w:szCs w:val="15"/>
                <w:lang w:eastAsia="tr-TR"/>
              </w:rPr>
            </w:pPr>
            <w:r w:rsidRPr="00CC0566">
              <w:rPr>
                <w:rFonts w:ascii="Verdana" w:eastAsia="Times New Roman" w:hAnsi="Verdana" w:cs="Times New Roman"/>
                <w:color w:val="0D3734"/>
                <w:sz w:val="15"/>
                <w:szCs w:val="15"/>
                <w:lang w:eastAsia="tr-TR"/>
              </w:rPr>
              <w:t>19.06.2014 TARİHLİ OLAĞAN GENEL KURUL TOPLANTISI GÜNDEMİ</w:t>
            </w:r>
            <w:r w:rsidRPr="00CC0566">
              <w:rPr>
                <w:rFonts w:ascii="Verdana" w:eastAsia="Times New Roman" w:hAnsi="Verdana" w:cs="Times New Roman"/>
                <w:color w:val="0D3734"/>
                <w:sz w:val="15"/>
                <w:szCs w:val="15"/>
                <w:lang w:eastAsia="tr-TR"/>
              </w:rPr>
              <w:br/>
              <w:t>1.Açılış, Başkanlık Divanının oluşturulması ve toplantı tutanaklarının imzalanması için Divan'a yetki verilmesi</w:t>
            </w:r>
            <w:r w:rsidRPr="00CC0566">
              <w:rPr>
                <w:rFonts w:ascii="Verdana" w:eastAsia="Times New Roman" w:hAnsi="Verdana" w:cs="Times New Roman"/>
                <w:color w:val="0D3734"/>
                <w:sz w:val="15"/>
                <w:szCs w:val="15"/>
                <w:lang w:eastAsia="tr-TR"/>
              </w:rPr>
              <w:br/>
            </w:r>
            <w:proofErr w:type="gramStart"/>
            <w:r w:rsidRPr="00CC0566">
              <w:rPr>
                <w:rFonts w:ascii="Verdana" w:eastAsia="Times New Roman" w:hAnsi="Verdana" w:cs="Times New Roman"/>
                <w:color w:val="0D3734"/>
                <w:sz w:val="15"/>
                <w:szCs w:val="15"/>
                <w:lang w:eastAsia="tr-TR"/>
              </w:rPr>
              <w:t>2.2013</w:t>
            </w:r>
            <w:proofErr w:type="gramEnd"/>
            <w:r w:rsidRPr="00CC0566">
              <w:rPr>
                <w:rFonts w:ascii="Verdana" w:eastAsia="Times New Roman" w:hAnsi="Verdana" w:cs="Times New Roman"/>
                <w:color w:val="0D3734"/>
                <w:sz w:val="15"/>
                <w:szCs w:val="15"/>
                <w:lang w:eastAsia="tr-TR"/>
              </w:rPr>
              <w:t xml:space="preserve"> yılı Yönetim Kurulu Yıllık Faaliyet Raporu ve Bağımsız Denetim Raporu ile yasal kayıtlara göre hazırlanmış bilanço ve gelir tablosunun okunması, müzakeresi ve oylanması</w:t>
            </w:r>
            <w:r w:rsidRPr="00CC0566">
              <w:rPr>
                <w:rFonts w:ascii="Verdana" w:eastAsia="Times New Roman" w:hAnsi="Verdana" w:cs="Times New Roman"/>
                <w:color w:val="0D3734"/>
                <w:sz w:val="15"/>
                <w:lang w:eastAsia="tr-TR"/>
              </w:rPr>
              <w:t> </w:t>
            </w:r>
            <w:r w:rsidRPr="00CC0566">
              <w:rPr>
                <w:rFonts w:ascii="Verdana" w:eastAsia="Times New Roman" w:hAnsi="Verdana" w:cs="Times New Roman"/>
                <w:color w:val="0D3734"/>
                <w:sz w:val="15"/>
                <w:szCs w:val="15"/>
                <w:lang w:eastAsia="tr-TR"/>
              </w:rPr>
              <w:br/>
              <w:t xml:space="preserve">3.Yönetim Kurulu Üyelerinin 2013 yılı faaliyetleri sebebiyle ayrı </w:t>
            </w:r>
            <w:proofErr w:type="spellStart"/>
            <w:r w:rsidRPr="00CC0566">
              <w:rPr>
                <w:rFonts w:ascii="Verdana" w:eastAsia="Times New Roman" w:hAnsi="Verdana" w:cs="Times New Roman"/>
                <w:color w:val="0D3734"/>
                <w:sz w:val="15"/>
                <w:szCs w:val="15"/>
                <w:lang w:eastAsia="tr-TR"/>
              </w:rPr>
              <w:t>ayrı</w:t>
            </w:r>
            <w:proofErr w:type="spellEnd"/>
            <w:r w:rsidRPr="00CC0566">
              <w:rPr>
                <w:rFonts w:ascii="Verdana" w:eastAsia="Times New Roman" w:hAnsi="Verdana" w:cs="Times New Roman"/>
                <w:color w:val="0D3734"/>
                <w:sz w:val="15"/>
                <w:szCs w:val="15"/>
                <w:lang w:eastAsia="tr-TR"/>
              </w:rPr>
              <w:t xml:space="preserve"> ibra edilmesi</w:t>
            </w:r>
            <w:r w:rsidRPr="00CC0566">
              <w:rPr>
                <w:rFonts w:ascii="Verdana" w:eastAsia="Times New Roman" w:hAnsi="Verdana" w:cs="Times New Roman"/>
                <w:color w:val="0D3734"/>
                <w:sz w:val="15"/>
                <w:lang w:eastAsia="tr-TR"/>
              </w:rPr>
              <w:t> </w:t>
            </w:r>
            <w:r w:rsidRPr="00CC0566">
              <w:rPr>
                <w:rFonts w:ascii="Verdana" w:eastAsia="Times New Roman" w:hAnsi="Verdana" w:cs="Times New Roman"/>
                <w:color w:val="0D3734"/>
                <w:sz w:val="15"/>
                <w:szCs w:val="15"/>
                <w:lang w:eastAsia="tr-TR"/>
              </w:rPr>
              <w:br/>
              <w:t>4.Esas sözleşmenin 6, 7, 8, 9, 12, 13, 17, 20, 22, 36 maddelerinin değiştirilmesi ve 35. maddenin eklenmesinin Sermaye Piyasası Kurulu Başkanlığı ve Gümrük ve Ticaret Bakanlığı İç Ticaret Genel Müdürlüğünün onayladığı şekliyle görüşülüp karara bağlanması</w:t>
            </w:r>
            <w:r w:rsidRPr="00CC0566">
              <w:rPr>
                <w:rFonts w:ascii="Verdana" w:eastAsia="Times New Roman" w:hAnsi="Verdana" w:cs="Times New Roman"/>
                <w:color w:val="0D3734"/>
                <w:sz w:val="15"/>
                <w:szCs w:val="15"/>
                <w:lang w:eastAsia="tr-TR"/>
              </w:rPr>
              <w:br/>
              <w:t>5.Sermaye Piyasası Kurulu'nun II-17.1 sayılı Kurumsal Yönetim Tebliği kapsamında "İlişkili Taraflarla" yapılan işlemler hakkında bilgi verilmesi</w:t>
            </w:r>
            <w:r w:rsidRPr="00CC0566">
              <w:rPr>
                <w:rFonts w:ascii="Verdana" w:eastAsia="Times New Roman" w:hAnsi="Verdana" w:cs="Times New Roman"/>
                <w:color w:val="0D3734"/>
                <w:sz w:val="15"/>
                <w:szCs w:val="15"/>
                <w:lang w:eastAsia="tr-TR"/>
              </w:rPr>
              <w:br/>
              <w:t>6.Sermaye Piyasası Kurulu'nun II-17.1 sayılı Kurumsal Yönetim Tebliğinin 12.Maddesi kapsamında şirketin üçüncü kişiler lehine verilen Teminat, Rehin ve İpoteklere ilişkin Genel Kurula bilgi verilmesi.</w:t>
            </w:r>
            <w:r w:rsidRPr="00CC0566">
              <w:rPr>
                <w:rFonts w:ascii="Verdana" w:eastAsia="Times New Roman" w:hAnsi="Verdana" w:cs="Times New Roman"/>
                <w:color w:val="0D3734"/>
                <w:sz w:val="15"/>
                <w:lang w:eastAsia="tr-TR"/>
              </w:rPr>
              <w:t> </w:t>
            </w:r>
            <w:r w:rsidRPr="00CC0566">
              <w:rPr>
                <w:rFonts w:ascii="Verdana" w:eastAsia="Times New Roman" w:hAnsi="Verdana" w:cs="Times New Roman"/>
                <w:color w:val="0D3734"/>
                <w:sz w:val="15"/>
                <w:szCs w:val="15"/>
                <w:lang w:eastAsia="tr-TR"/>
              </w:rPr>
              <w:br/>
            </w:r>
            <w:proofErr w:type="gramStart"/>
            <w:r w:rsidRPr="00CC0566">
              <w:rPr>
                <w:rFonts w:ascii="Verdana" w:eastAsia="Times New Roman" w:hAnsi="Verdana" w:cs="Times New Roman"/>
                <w:color w:val="0D3734"/>
                <w:sz w:val="15"/>
                <w:szCs w:val="15"/>
                <w:lang w:eastAsia="tr-TR"/>
              </w:rPr>
              <w:t>7.</w:t>
            </w:r>
            <w:proofErr w:type="spellStart"/>
            <w:r w:rsidRPr="00CC0566">
              <w:rPr>
                <w:rFonts w:ascii="Verdana" w:eastAsia="Times New Roman" w:hAnsi="Verdana" w:cs="Times New Roman"/>
                <w:color w:val="0D3734"/>
                <w:sz w:val="15"/>
                <w:szCs w:val="15"/>
                <w:lang w:eastAsia="tr-TR"/>
              </w:rPr>
              <w:t>Sapphire</w:t>
            </w:r>
            <w:proofErr w:type="spellEnd"/>
            <w:r w:rsidRPr="00CC0566">
              <w:rPr>
                <w:rFonts w:ascii="Verdana" w:eastAsia="Times New Roman" w:hAnsi="Verdana" w:cs="Times New Roman"/>
                <w:color w:val="0D3734"/>
                <w:sz w:val="15"/>
                <w:szCs w:val="15"/>
                <w:lang w:eastAsia="tr-TR"/>
              </w:rPr>
              <w:t xml:space="preserve"> Projesi Seyir Terası gelirleri için Kiler Holding A.Ş. tarafından verilen garanti kapsamında yükümlülüklerindeki gelişmeler hakkında bilgi verilmesi</w:t>
            </w:r>
            <w:r w:rsidRPr="00CC0566">
              <w:rPr>
                <w:rFonts w:ascii="Verdana" w:eastAsia="Times New Roman" w:hAnsi="Verdana" w:cs="Times New Roman"/>
                <w:color w:val="0D3734"/>
                <w:sz w:val="15"/>
                <w:szCs w:val="15"/>
                <w:lang w:eastAsia="tr-TR"/>
              </w:rPr>
              <w:br/>
              <w:t xml:space="preserve">8.Ankara </w:t>
            </w:r>
            <w:proofErr w:type="spellStart"/>
            <w:r w:rsidRPr="00CC0566">
              <w:rPr>
                <w:rFonts w:ascii="Verdana" w:eastAsia="Times New Roman" w:hAnsi="Verdana" w:cs="Times New Roman"/>
                <w:color w:val="0D3734"/>
                <w:sz w:val="15"/>
                <w:szCs w:val="15"/>
                <w:lang w:eastAsia="tr-TR"/>
              </w:rPr>
              <w:t>Dışkapı</w:t>
            </w:r>
            <w:proofErr w:type="spellEnd"/>
            <w:r w:rsidRPr="00CC0566">
              <w:rPr>
                <w:rFonts w:ascii="Verdana" w:eastAsia="Times New Roman" w:hAnsi="Verdana" w:cs="Times New Roman"/>
                <w:color w:val="0D3734"/>
                <w:sz w:val="15"/>
                <w:szCs w:val="15"/>
                <w:lang w:eastAsia="tr-TR"/>
              </w:rPr>
              <w:t xml:space="preserve"> Mağazası Kiralama hususunda bilgi verilmesi</w:t>
            </w:r>
            <w:r w:rsidRPr="00CC0566">
              <w:rPr>
                <w:rFonts w:ascii="Verdana" w:eastAsia="Times New Roman" w:hAnsi="Verdana" w:cs="Times New Roman"/>
                <w:color w:val="0D3734"/>
                <w:sz w:val="15"/>
                <w:szCs w:val="15"/>
                <w:lang w:eastAsia="tr-TR"/>
              </w:rPr>
              <w:br/>
              <w:t>9.Sermaye Piyasası Mevzuatı ve Düzenlemeleri uyarınca; Yönetim Kurulu tarafından yapılan Bağımsız Denetim Şirketi ve Portföy Değerleme Şirketi seçiminin Genel Kurul'un onayına sunulması</w:t>
            </w:r>
            <w:r w:rsidRPr="00CC0566">
              <w:rPr>
                <w:rFonts w:ascii="Verdana" w:eastAsia="Times New Roman" w:hAnsi="Verdana" w:cs="Times New Roman"/>
                <w:color w:val="0D3734"/>
                <w:sz w:val="15"/>
                <w:szCs w:val="15"/>
                <w:lang w:eastAsia="tr-TR"/>
              </w:rPr>
              <w:br/>
              <w:t>10.Sermaye Piyasası Mevzuatı ve Düzenlemeleri uyarınca Şirketin yenilenen "Kar Dağıtım Politikası" ve "Bilgilendirme Politikası"nın Genel Kurulun onayına sunulması.</w:t>
            </w:r>
            <w:proofErr w:type="gramEnd"/>
            <w:r w:rsidRPr="00CC0566">
              <w:rPr>
                <w:rFonts w:ascii="Verdana" w:eastAsia="Times New Roman" w:hAnsi="Verdana" w:cs="Times New Roman"/>
                <w:color w:val="0D3734"/>
                <w:sz w:val="15"/>
                <w:szCs w:val="15"/>
                <w:lang w:eastAsia="tr-TR"/>
              </w:rPr>
              <w:br/>
              <w:t>11.Sermaye Piyasası Mevzuatı ve Düzenlemeleri uyarınca Şirketin "Kurumsal Yönetim İlkelerine Uyum Raporu'nun Genel Kurulun bilgisine sunulması,</w:t>
            </w:r>
            <w:r w:rsidRPr="00CC0566">
              <w:rPr>
                <w:rFonts w:ascii="Verdana" w:eastAsia="Times New Roman" w:hAnsi="Verdana" w:cs="Times New Roman"/>
                <w:color w:val="0D3734"/>
                <w:sz w:val="15"/>
                <w:szCs w:val="15"/>
                <w:lang w:eastAsia="tr-TR"/>
              </w:rPr>
              <w:br/>
              <w:t>12.Yönetim Kurulunun 2013 yılı kar dağıtım teklifinin görüşülüp karara bağlanması</w:t>
            </w:r>
            <w:r w:rsidRPr="00CC0566">
              <w:rPr>
                <w:rFonts w:ascii="Verdana" w:eastAsia="Times New Roman" w:hAnsi="Verdana" w:cs="Times New Roman"/>
                <w:color w:val="0D3734"/>
                <w:sz w:val="15"/>
                <w:szCs w:val="15"/>
                <w:lang w:eastAsia="tr-TR"/>
              </w:rPr>
              <w:br/>
              <w:t xml:space="preserve">13.Şirket Yönetim Kurulu 22.04.2014 tarihli toplantısında alınan kararla birlikte Şirketimizin </w:t>
            </w:r>
            <w:proofErr w:type="gramStart"/>
            <w:r w:rsidRPr="00CC0566">
              <w:rPr>
                <w:rFonts w:ascii="Verdana" w:eastAsia="Times New Roman" w:hAnsi="Verdana" w:cs="Times New Roman"/>
                <w:color w:val="0D3734"/>
                <w:sz w:val="15"/>
                <w:szCs w:val="15"/>
                <w:lang w:eastAsia="tr-TR"/>
              </w:rPr>
              <w:t>05/06/2012</w:t>
            </w:r>
            <w:proofErr w:type="gramEnd"/>
            <w:r w:rsidRPr="00CC0566">
              <w:rPr>
                <w:rFonts w:ascii="Verdana" w:eastAsia="Times New Roman" w:hAnsi="Verdana" w:cs="Times New Roman"/>
                <w:color w:val="0D3734"/>
                <w:sz w:val="15"/>
                <w:szCs w:val="15"/>
                <w:lang w:eastAsia="tr-TR"/>
              </w:rPr>
              <w:t xml:space="preserve"> tarihinde yapılan 2011 yılı Olağan Genel Kurul toplantısında seçilen Yönetim Kurulu Üyeleri ile aynı süre zarfında görev yapmak ve ilk Genel Kurul'un onayına sunulmak üzere Türk Ticaret Kanununun 363.maddesi uyarınca Yönetim Kurulu Üyeliğine T.C. uyruklu, Sami Çoban seçilmiştir. </w:t>
            </w:r>
            <w:proofErr w:type="gramStart"/>
            <w:r w:rsidRPr="00CC0566">
              <w:rPr>
                <w:rFonts w:ascii="Verdana" w:eastAsia="Times New Roman" w:hAnsi="Verdana" w:cs="Times New Roman"/>
                <w:color w:val="0D3734"/>
                <w:sz w:val="15"/>
                <w:szCs w:val="15"/>
                <w:lang w:eastAsia="tr-TR"/>
              </w:rPr>
              <w:t>Bu hususun Genel Kurul onayına sunulması,</w:t>
            </w:r>
            <w:r w:rsidRPr="00CC0566">
              <w:rPr>
                <w:rFonts w:ascii="Verdana" w:eastAsia="Times New Roman" w:hAnsi="Verdana" w:cs="Times New Roman"/>
                <w:color w:val="0D3734"/>
                <w:sz w:val="15"/>
                <w:szCs w:val="15"/>
                <w:lang w:eastAsia="tr-TR"/>
              </w:rPr>
              <w:br/>
              <w:t>14.Yönetim Kurulu Üyelerinin ücretleri ile huzur haklarının tespiti</w:t>
            </w:r>
            <w:r w:rsidRPr="00CC0566">
              <w:rPr>
                <w:rFonts w:ascii="Verdana" w:eastAsia="Times New Roman" w:hAnsi="Verdana" w:cs="Times New Roman"/>
                <w:color w:val="0D3734"/>
                <w:sz w:val="15"/>
                <w:lang w:eastAsia="tr-TR"/>
              </w:rPr>
              <w:t> </w:t>
            </w:r>
            <w:r w:rsidRPr="00CC0566">
              <w:rPr>
                <w:rFonts w:ascii="Verdana" w:eastAsia="Times New Roman" w:hAnsi="Verdana" w:cs="Times New Roman"/>
                <w:color w:val="0D3734"/>
                <w:sz w:val="15"/>
                <w:szCs w:val="15"/>
                <w:lang w:eastAsia="tr-TR"/>
              </w:rPr>
              <w:br/>
              <w:t>15.Şirket Yönetim Kurulu Üyelerinin Sermaye Piyasası Mevzuatı ve Düzenlemeleri ile Türk Ticaret Kanunu'nun 395. Ve 396. maddeleri kapsamına giren faaliyetlerine izin verilmesi hususunun görüşülmesi</w:t>
            </w:r>
            <w:r w:rsidRPr="00CC0566">
              <w:rPr>
                <w:rFonts w:ascii="Verdana" w:eastAsia="Times New Roman" w:hAnsi="Verdana" w:cs="Times New Roman"/>
                <w:color w:val="0D3734"/>
                <w:sz w:val="15"/>
                <w:lang w:eastAsia="tr-TR"/>
              </w:rPr>
              <w:t> </w:t>
            </w:r>
            <w:r w:rsidRPr="00CC0566">
              <w:rPr>
                <w:rFonts w:ascii="Verdana" w:eastAsia="Times New Roman" w:hAnsi="Verdana" w:cs="Times New Roman"/>
                <w:color w:val="0D3734"/>
                <w:sz w:val="15"/>
                <w:szCs w:val="15"/>
                <w:lang w:eastAsia="tr-TR"/>
              </w:rPr>
              <w:br/>
              <w:t>16.Sermaye Piyasası Kurulu Düzenlemeleri gereğince yıl içinde yapılan bağışlar hakkında ortaklara bilgi verilmesi ve 2014 yılında yapılacak bağışların sınırının belirlenmesi,</w:t>
            </w:r>
            <w:r w:rsidRPr="00CC0566">
              <w:rPr>
                <w:rFonts w:ascii="Verdana" w:eastAsia="Times New Roman" w:hAnsi="Verdana" w:cs="Times New Roman"/>
                <w:color w:val="0D3734"/>
                <w:sz w:val="15"/>
                <w:lang w:eastAsia="tr-TR"/>
              </w:rPr>
              <w:t> </w:t>
            </w:r>
            <w:r w:rsidRPr="00CC0566">
              <w:rPr>
                <w:rFonts w:ascii="Verdana" w:eastAsia="Times New Roman" w:hAnsi="Verdana" w:cs="Times New Roman"/>
                <w:color w:val="0D3734"/>
                <w:sz w:val="15"/>
                <w:szCs w:val="15"/>
                <w:lang w:eastAsia="tr-TR"/>
              </w:rPr>
              <w:br/>
              <w:t>17.Dilekler ve kapanış</w:t>
            </w:r>
            <w:proofErr w:type="gramEnd"/>
          </w:p>
        </w:tc>
      </w:tr>
    </w:tbl>
    <w:p w:rsidR="00CC0566" w:rsidRPr="008422EB" w:rsidRDefault="00CC0566" w:rsidP="008422EB">
      <w:pPr>
        <w:spacing w:after="135" w:line="330" w:lineRule="atLeast"/>
        <w:rPr>
          <w:rFonts w:ascii="Arial" w:eastAsia="Times New Roman" w:hAnsi="Arial" w:cs="Arial"/>
          <w:color w:val="333333"/>
          <w:sz w:val="21"/>
          <w:szCs w:val="21"/>
          <w:lang w:eastAsia="tr-TR"/>
        </w:rPr>
      </w:pPr>
    </w:p>
    <w:sectPr w:rsidR="00CC0566" w:rsidRPr="008422E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22EB"/>
    <w:rsid w:val="00330F71"/>
    <w:rsid w:val="00513708"/>
    <w:rsid w:val="00590631"/>
    <w:rsid w:val="00597F8C"/>
    <w:rsid w:val="005A25C4"/>
    <w:rsid w:val="007430C4"/>
    <w:rsid w:val="007B020B"/>
    <w:rsid w:val="008422EB"/>
    <w:rsid w:val="009105AB"/>
    <w:rsid w:val="00A661B2"/>
    <w:rsid w:val="00AC4867"/>
    <w:rsid w:val="00CC0566"/>
    <w:rsid w:val="00D53C04"/>
    <w:rsid w:val="00E76C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22EB"/>
    <w:rPr>
      <w:b/>
      <w:bCs/>
    </w:rPr>
  </w:style>
  <w:style w:type="character" w:customStyle="1" w:styleId="apple-converted-space">
    <w:name w:val="apple-converted-space"/>
    <w:basedOn w:val="VarsaylanParagrafYazTipi"/>
    <w:rsid w:val="008422EB"/>
  </w:style>
  <w:style w:type="character" w:customStyle="1" w:styleId="highlight">
    <w:name w:val="highlight"/>
    <w:basedOn w:val="VarsaylanParagrafYazTipi"/>
    <w:rsid w:val="008422EB"/>
  </w:style>
  <w:style w:type="paragraph" w:styleId="NormalWeb">
    <w:name w:val="Normal (Web)"/>
    <w:basedOn w:val="Normal"/>
    <w:uiPriority w:val="99"/>
    <w:semiHidden/>
    <w:unhideWhenUsed/>
    <w:rsid w:val="008422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85165438">
      <w:bodyDiv w:val="1"/>
      <w:marLeft w:val="0"/>
      <w:marRight w:val="0"/>
      <w:marTop w:val="0"/>
      <w:marBottom w:val="0"/>
      <w:divBdr>
        <w:top w:val="none" w:sz="0" w:space="0" w:color="auto"/>
        <w:left w:val="none" w:sz="0" w:space="0" w:color="auto"/>
        <w:bottom w:val="none" w:sz="0" w:space="0" w:color="auto"/>
        <w:right w:val="none" w:sz="0" w:space="0" w:color="auto"/>
      </w:divBdr>
    </w:div>
    <w:div w:id="20873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440</Words>
  <Characters>2514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2014-05-22T09:51:00Z</dcterms:created>
  <dcterms:modified xsi:type="dcterms:W3CDTF">2014-05-22T11:39:00Z</dcterms:modified>
</cp:coreProperties>
</file>